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A16887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1130EF" w:rsidRDefault="00F7504A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«</w:t>
      </w:r>
      <w:r w:rsidR="00A16887">
        <w:rPr>
          <w:rFonts w:cs="Arial"/>
          <w:color w:val="000000" w:themeColor="text1"/>
        </w:rPr>
        <w:t xml:space="preserve">22» декабря </w:t>
      </w:r>
      <w:r w:rsidR="00A16887" w:rsidRPr="001130EF">
        <w:rPr>
          <w:rFonts w:cs="Arial"/>
          <w:color w:val="000000" w:themeColor="text1"/>
        </w:rPr>
        <w:t>2023</w:t>
      </w:r>
      <w:r w:rsidRPr="001130EF">
        <w:rPr>
          <w:rFonts w:cs="Arial"/>
          <w:color w:val="000000" w:themeColor="text1"/>
        </w:rPr>
        <w:t xml:space="preserve"> г.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№ </w:t>
      </w:r>
      <w:r w:rsidR="00A16887">
        <w:rPr>
          <w:rFonts w:cs="Arial"/>
          <w:color w:val="000000" w:themeColor="text1"/>
        </w:rPr>
        <w:t>76</w:t>
      </w:r>
    </w:p>
    <w:p w:rsidR="00F7504A" w:rsidRPr="001130EF" w:rsidRDefault="00A16887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Писаревское </w:t>
      </w:r>
      <w:r w:rsidRPr="001130EF">
        <w:rPr>
          <w:b w:val="0"/>
          <w:color w:val="000000" w:themeColor="text1"/>
          <w:sz w:val="24"/>
          <w:szCs w:val="24"/>
        </w:rPr>
        <w:t>сельское</w:t>
      </w:r>
      <w:r w:rsidR="003F02AC" w:rsidRPr="001130EF">
        <w:rPr>
          <w:b w:val="0"/>
          <w:color w:val="000000" w:themeColor="text1"/>
          <w:sz w:val="24"/>
          <w:szCs w:val="24"/>
        </w:rPr>
        <w:t xml:space="preserve"> поселение</w:t>
      </w:r>
    </w:p>
    <w:p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EC34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1130EF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A16887">
        <w:rPr>
          <w:b w:val="0"/>
          <w:color w:val="000000" w:themeColor="text1"/>
          <w:sz w:val="24"/>
          <w:szCs w:val="24"/>
        </w:rPr>
        <w:t>Писаревского</w:t>
      </w:r>
      <w:r w:rsidRPr="001130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65415"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C3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A168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8266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1130EF" w:rsidRPr="001130EF" w:rsidTr="0036618F">
        <w:tc>
          <w:tcPr>
            <w:tcW w:w="3214" w:type="dxa"/>
            <w:shd w:val="clear" w:color="auto" w:fill="auto"/>
          </w:tcPr>
          <w:p w:rsidR="004F74FD" w:rsidRPr="001130EF" w:rsidRDefault="004F74FD" w:rsidP="00A16887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A16887"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4F74FD" w:rsidRPr="001130EF" w:rsidRDefault="00A16887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F7504A" w:rsidRPr="001130EF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r w:rsidR="00A16887">
        <w:rPr>
          <w:rFonts w:cs="Arial"/>
          <w:color w:val="000000" w:themeColor="text1"/>
        </w:rPr>
        <w:t>Писаревского</w:t>
      </w:r>
      <w:r w:rsidRPr="001130EF">
        <w:rPr>
          <w:rFonts w:cs="Arial"/>
          <w:color w:val="000000" w:themeColor="text1"/>
        </w:rPr>
        <w:t xml:space="preserve"> 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  <w:r w:rsidRPr="001130EF">
        <w:rPr>
          <w:rFonts w:cs="Arial"/>
          <w:color w:val="000000" w:themeColor="text1"/>
        </w:rPr>
        <w:t>от «</w:t>
      </w:r>
      <w:r w:rsidR="00A16887">
        <w:rPr>
          <w:rFonts w:cs="Arial"/>
          <w:color w:val="000000" w:themeColor="text1"/>
        </w:rPr>
        <w:t>22</w:t>
      </w:r>
      <w:r w:rsidRPr="001130EF">
        <w:rPr>
          <w:rFonts w:cs="Arial"/>
          <w:color w:val="000000" w:themeColor="text1"/>
        </w:rPr>
        <w:t>»</w:t>
      </w:r>
      <w:r w:rsidR="00A16887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декабря 2023</w:t>
      </w:r>
      <w:r w:rsidR="00582FEE" w:rsidRPr="001130EF">
        <w:rPr>
          <w:rFonts w:cs="Arial"/>
          <w:color w:val="000000" w:themeColor="text1"/>
        </w:rPr>
        <w:t xml:space="preserve"> г.</w:t>
      </w:r>
      <w:r w:rsidR="00A16887">
        <w:rPr>
          <w:rFonts w:cs="Arial"/>
          <w:color w:val="000000" w:themeColor="text1"/>
        </w:rPr>
        <w:t xml:space="preserve"> № 76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r w:rsidR="000774DC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0774DC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0774DC" w:rsidRPr="000774DC">
        <w:t xml:space="preserve"> </w:t>
      </w:r>
      <w:r w:rsidR="000774DC" w:rsidRPr="000774D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>. 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1130EF">
        <w:rPr>
          <w:rFonts w:cs="Arial"/>
          <w:color w:val="000000" w:themeColor="text1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r w:rsidR="000774DC">
        <w:rPr>
          <w:rFonts w:cs="Arial"/>
          <w:color w:val="000000" w:themeColor="text1"/>
        </w:rPr>
        <w:t>Писаревского</w:t>
      </w:r>
      <w:r w:rsidR="00DE1E3A" w:rsidRPr="001130EF">
        <w:rPr>
          <w:rFonts w:cs="Arial"/>
          <w:color w:val="000000" w:themeColor="text1"/>
        </w:rPr>
        <w:t xml:space="preserve">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774DC">
        <w:rPr>
          <w:rFonts w:cs="Arial"/>
          <w:color w:val="000000" w:themeColor="text1"/>
        </w:rPr>
        <w:t xml:space="preserve">Писаревского </w:t>
      </w:r>
      <w:r w:rsidR="00DE1E3A" w:rsidRPr="001130EF">
        <w:rPr>
          <w:rFonts w:cs="Arial"/>
          <w:color w:val="000000" w:themeColor="text1"/>
        </w:rPr>
        <w:t>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>взаимодействует с: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</w:t>
      </w:r>
      <w:r w:rsidRPr="001130EF">
        <w:rPr>
          <w:rFonts w:eastAsia="SimSun" w:cs="Arial"/>
          <w:color w:val="000000" w:themeColor="text1"/>
        </w:rPr>
        <w:lastRenderedPageBreak/>
        <w:t>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</w:t>
      </w:r>
      <w:proofErr w:type="spellStart"/>
      <w:r w:rsidRPr="001130EF">
        <w:rPr>
          <w:rFonts w:eastAsia="SimSun" w:cs="Arial"/>
          <w:color w:val="000000" w:themeColor="text1"/>
        </w:rPr>
        <w:t>пр</w:t>
      </w:r>
      <w:proofErr w:type="spellEnd"/>
      <w:r w:rsidRPr="001130EF">
        <w:rPr>
          <w:rFonts w:eastAsia="SimSun" w:cs="Arial"/>
          <w:color w:val="000000" w:themeColor="text1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0774DC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0774DC" w:rsidRPr="000774DC">
        <w:t xml:space="preserve"> </w:t>
      </w:r>
      <w:r w:rsidR="000774DC" w:rsidRPr="000774D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2D2D23" w:rsidRPr="001130EF">
        <w:rPr>
          <w:rFonts w:eastAsiaTheme="minorHAnsi" w:cs="Arial"/>
          <w:color w:val="000000" w:themeColor="text1"/>
        </w:rPr>
        <w:t xml:space="preserve"> </w:t>
      </w:r>
      <w:r w:rsidR="000774DC">
        <w:rPr>
          <w:rFonts w:eastAsiaTheme="minorHAnsi" w:cs="Arial"/>
          <w:color w:val="000000" w:themeColor="text1"/>
        </w:rPr>
        <w:t>Писаревского</w:t>
      </w:r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, указанный в дизайн – проекте размещения вывески;</w:t>
      </w:r>
    </w:p>
    <w:p w:rsidR="00F2141A" w:rsidRPr="000774DC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Писаревского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решением Совета народных депутатов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Писаревского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126</w:t>
      </w:r>
      <w:r w:rsidR="001130EF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0774DC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28.12.2017г</w:t>
      </w:r>
      <w:r w:rsidR="0067603D" w:rsidRPr="000774DC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</w:p>
    <w:p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в) 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1130EF">
        <w:rPr>
          <w:rFonts w:cs="Arial"/>
          <w:color w:val="000000" w:themeColor="text1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 xml:space="preserve">передается на </w:t>
      </w:r>
      <w:r w:rsidRPr="001130EF">
        <w:rPr>
          <w:rFonts w:cs="Arial"/>
          <w:color w:val="000000" w:themeColor="text1"/>
        </w:rPr>
        <w:lastRenderedPageBreak/>
        <w:t xml:space="preserve">подписание главе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уведомления о согласовании установки информационной вывески, дизайн-проекта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.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0774D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Требованиями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порядку и формам текущего контроля за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жалобой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A558E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1130EF">
        <w:rPr>
          <w:rFonts w:cs="Arial"/>
          <w:color w:val="000000" w:themeColor="text1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5374BC" w:rsidRPr="001130EF">
        <w:rPr>
          <w:rFonts w:cs="Arial"/>
          <w:color w:val="000000" w:themeColor="text1"/>
        </w:rPr>
        <w:t xml:space="preserve"> </w:t>
      </w:r>
      <w:r w:rsidR="000774DC">
        <w:rPr>
          <w:rFonts w:cs="Arial"/>
          <w:color w:val="000000" w:themeColor="text1"/>
        </w:rPr>
        <w:t>Писаревского</w:t>
      </w:r>
      <w:bookmarkStart w:id="4" w:name="_GoBack"/>
      <w:bookmarkEnd w:id="4"/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дизайн-проекта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по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</w:t>
            </w:r>
            <w:proofErr w:type="gramEnd"/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установки информационной вывески, дизайн-проекта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A71615" w:rsidRPr="001130EF" w:rsidSect="001130E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F4" w:rsidRDefault="002B59F4" w:rsidP="009476CE">
      <w:r>
        <w:separator/>
      </w:r>
    </w:p>
  </w:endnote>
  <w:endnote w:type="continuationSeparator" w:id="0">
    <w:p w:rsidR="002B59F4" w:rsidRDefault="002B59F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F4" w:rsidRDefault="002B59F4" w:rsidP="009476CE">
      <w:r>
        <w:separator/>
      </w:r>
    </w:p>
  </w:footnote>
  <w:footnote w:type="continuationSeparator" w:id="0">
    <w:p w:rsidR="002B59F4" w:rsidRDefault="002B59F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4E" w:rsidRDefault="00CB214E">
    <w:pPr>
      <w:pStyle w:val="a9"/>
      <w:jc w:val="center"/>
    </w:pPr>
  </w:p>
  <w:p w:rsidR="00CB214E" w:rsidRDefault="00CB21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 w15:restartNumberingAfterBreak="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774DC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B59F4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16887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CD16"/>
  <w15:docId w15:val="{94A1E889-3CA7-485E-8180-E5064EDD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9296-AE04-48F0-A2D6-3CD45AA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6748</TotalTime>
  <Pages>38</Pages>
  <Words>14040</Words>
  <Characters>80033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Писаревское сельское поселение</cp:lastModifiedBy>
  <cp:revision>472</cp:revision>
  <cp:lastPrinted>2023-07-18T09:53:00Z</cp:lastPrinted>
  <dcterms:created xsi:type="dcterms:W3CDTF">2023-03-27T09:10:00Z</dcterms:created>
  <dcterms:modified xsi:type="dcterms:W3CDTF">2023-12-25T08:37:00Z</dcterms:modified>
</cp:coreProperties>
</file>