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50D8B">
        <w:tc>
          <w:tcPr>
            <w:tcW w:w="4677" w:type="dxa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 июня 2014 года</w:t>
            </w:r>
          </w:p>
        </w:tc>
        <w:tc>
          <w:tcPr>
            <w:tcW w:w="4677" w:type="dxa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 460</w:t>
            </w:r>
          </w:p>
        </w:tc>
      </w:tr>
    </w:tbl>
    <w:p w:rsidR="00B50D8B" w:rsidRDefault="00B50D8B" w:rsidP="00B50D8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УКАЗ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ПРЕЗИДЕНТА 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ОБ УТВЕРЖДЕНИИ ФОРМЫ СПРАВКИ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О ДОХОДАХ, РАСХОДАХ, ОБ ИМУЩЕСТВЕ И ОБЯЗАТЕЛЬСТВАХ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ИМУЩЕСТВЕННОГО ХАРАКТЕРА И ВНЕСЕНИИ ИЗМЕНЕНИЙ В НЕКОТОРЫЕ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АКТЫ ПРЕЗИДЕНТА 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B50D8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19.09.2017 </w:t>
            </w:r>
            <w:hyperlink r:id="rId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09.10.2017 </w:t>
            </w:r>
            <w:hyperlink r:id="rId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rFonts w:ascii="Arial" w:hAnsi="Arial" w:cs="Arial"/>
            <w:color w:val="0000FF"/>
            <w:sz w:val="14"/>
            <w:szCs w:val="14"/>
          </w:rPr>
          <w:t>N 230-ФЗ</w:t>
        </w:r>
      </w:hyperlink>
      <w:r>
        <w:rPr>
          <w:rFonts w:ascii="Arial" w:hAnsi="Arial" w:cs="Arial"/>
          <w:sz w:val="14"/>
          <w:szCs w:val="1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1. Утвердить прилагаемую </w:t>
      </w:r>
      <w:hyperlink w:anchor="Par77" w:history="1">
        <w:r>
          <w:rPr>
            <w:rFonts w:ascii="Arial" w:hAnsi="Arial" w:cs="Arial"/>
            <w:color w:val="0000FF"/>
            <w:sz w:val="14"/>
            <w:szCs w:val="14"/>
          </w:rPr>
          <w:t>форму</w:t>
        </w:r>
      </w:hyperlink>
      <w:r>
        <w:rPr>
          <w:rFonts w:ascii="Arial" w:hAnsi="Arial" w:cs="Arial"/>
          <w:sz w:val="14"/>
          <w:szCs w:val="14"/>
        </w:rPr>
        <w:t xml:space="preserve"> справки о доходах, расходах, об имуществе и обязательствах имущественного характера.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history="1">
        <w:r>
          <w:rPr>
            <w:rFonts w:ascii="Arial" w:hAnsi="Arial" w:cs="Arial"/>
            <w:color w:val="0000FF"/>
            <w:sz w:val="14"/>
            <w:szCs w:val="14"/>
          </w:rPr>
          <w:t>форме</w:t>
        </w:r>
      </w:hyperlink>
      <w:r>
        <w:rPr>
          <w:rFonts w:ascii="Arial" w:hAnsi="Arial" w:cs="Arial"/>
          <w:sz w:val="14"/>
          <w:szCs w:val="14"/>
        </w:rPr>
        <w:t xml:space="preserve"> справки, утвержденной настоящим Указом.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3. Внести в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</w:rPr>
          <w:t>Положение</w:t>
        </w:r>
      </w:hyperlink>
      <w:r>
        <w:rPr>
          <w:rFonts w:ascii="Arial" w:hAnsi="Arial" w:cs="Arial"/>
          <w:sz w:val="14"/>
          <w:szCs w:val="1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в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</w:rPr>
          <w:t>Указе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1" w:history="1">
        <w:r>
          <w:rPr>
            <w:rFonts w:ascii="Arial" w:hAnsi="Arial" w:cs="Arial"/>
            <w:color w:val="0000FF"/>
            <w:sz w:val="14"/>
            <w:szCs w:val="14"/>
          </w:rPr>
          <w:t>подпункты "б"</w:t>
        </w:r>
      </w:hyperlink>
      <w:r>
        <w:rPr>
          <w:rFonts w:ascii="Arial" w:hAnsi="Arial" w:cs="Arial"/>
          <w:sz w:val="14"/>
          <w:szCs w:val="14"/>
        </w:rPr>
        <w:t xml:space="preserve"> -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</w:rPr>
          <w:t>"и" пункта 1</w:t>
        </w:r>
      </w:hyperlink>
      <w:r>
        <w:rPr>
          <w:rFonts w:ascii="Arial" w:hAnsi="Arial" w:cs="Arial"/>
          <w:sz w:val="14"/>
          <w:szCs w:val="14"/>
        </w:rPr>
        <w:t xml:space="preserve"> признать утратившими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3" w:history="1">
        <w:r>
          <w:rPr>
            <w:rFonts w:ascii="Arial" w:hAnsi="Arial" w:cs="Arial"/>
            <w:color w:val="0000FF"/>
            <w:sz w:val="14"/>
            <w:szCs w:val="14"/>
          </w:rPr>
          <w:t>пункт 2</w:t>
        </w:r>
      </w:hyperlink>
      <w:r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4" w:history="1">
        <w:r>
          <w:rPr>
            <w:rFonts w:ascii="Arial" w:hAnsi="Arial" w:cs="Arial"/>
            <w:color w:val="0000FF"/>
            <w:sz w:val="14"/>
            <w:szCs w:val="14"/>
          </w:rPr>
          <w:t>пункт 3</w:t>
        </w:r>
      </w:hyperlink>
      <w:r>
        <w:rPr>
          <w:rFonts w:ascii="Arial" w:hAnsi="Arial" w:cs="Arial"/>
          <w:sz w:val="14"/>
          <w:szCs w:val="14"/>
        </w:rPr>
        <w:t xml:space="preserve"> признать утратившим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15" w:history="1">
        <w:r>
          <w:rPr>
            <w:rFonts w:ascii="Arial" w:hAnsi="Arial" w:cs="Arial"/>
            <w:color w:val="0000FF"/>
            <w:sz w:val="14"/>
            <w:szCs w:val="14"/>
          </w:rPr>
          <w:t>Положении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</w:rPr>
          <w:t>пункте 3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</w:rPr>
          <w:t>подпункте "б" пункта 4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</w:rPr>
          <w:t>абзаце втором пункта 5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4. Внести в </w:t>
      </w:r>
      <w:hyperlink r:id="rId19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rFonts w:ascii="Arial" w:hAnsi="Arial" w:cs="Arial"/>
            <w:color w:val="0000FF"/>
            <w:sz w:val="14"/>
            <w:szCs w:val="14"/>
          </w:rPr>
          <w:t>Положение</w:t>
        </w:r>
      </w:hyperlink>
      <w:r>
        <w:rPr>
          <w:rFonts w:ascii="Arial" w:hAnsi="Arial" w:cs="Arial"/>
          <w:sz w:val="14"/>
          <w:szCs w:val="1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в </w:t>
      </w:r>
      <w:hyperlink r:id="rId21" w:history="1">
        <w:r>
          <w:rPr>
            <w:rFonts w:ascii="Arial" w:hAnsi="Arial" w:cs="Arial"/>
            <w:color w:val="0000FF"/>
            <w:sz w:val="14"/>
            <w:szCs w:val="14"/>
          </w:rPr>
          <w:t>Указе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22" w:history="1">
        <w:r>
          <w:rPr>
            <w:rFonts w:ascii="Arial" w:hAnsi="Arial" w:cs="Arial"/>
            <w:color w:val="0000FF"/>
            <w:sz w:val="14"/>
            <w:szCs w:val="14"/>
          </w:rPr>
          <w:t>подпункты "б"</w:t>
        </w:r>
      </w:hyperlink>
      <w:r>
        <w:rPr>
          <w:rFonts w:ascii="Arial" w:hAnsi="Arial" w:cs="Arial"/>
          <w:sz w:val="14"/>
          <w:szCs w:val="14"/>
        </w:rPr>
        <w:t xml:space="preserve"> - </w:t>
      </w:r>
      <w:hyperlink r:id="rId23" w:history="1">
        <w:r>
          <w:rPr>
            <w:rFonts w:ascii="Arial" w:hAnsi="Arial" w:cs="Arial"/>
            <w:color w:val="0000FF"/>
            <w:sz w:val="14"/>
            <w:szCs w:val="14"/>
          </w:rPr>
          <w:t>"д" пункта 1</w:t>
        </w:r>
      </w:hyperlink>
      <w:r>
        <w:rPr>
          <w:rFonts w:ascii="Arial" w:hAnsi="Arial" w:cs="Arial"/>
          <w:sz w:val="14"/>
          <w:szCs w:val="14"/>
        </w:rPr>
        <w:t xml:space="preserve"> признать утратившими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24" w:history="1">
        <w:r>
          <w:rPr>
            <w:rFonts w:ascii="Arial" w:hAnsi="Arial" w:cs="Arial"/>
            <w:color w:val="0000FF"/>
            <w:sz w:val="14"/>
            <w:szCs w:val="14"/>
          </w:rPr>
          <w:t>пункт 2</w:t>
        </w:r>
      </w:hyperlink>
      <w:r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25" w:history="1">
        <w:r>
          <w:rPr>
            <w:rFonts w:ascii="Arial" w:hAnsi="Arial" w:cs="Arial"/>
            <w:color w:val="0000FF"/>
            <w:sz w:val="14"/>
            <w:szCs w:val="14"/>
          </w:rPr>
          <w:t>абзаце первом пункта 3</w:t>
        </w:r>
      </w:hyperlink>
      <w:r>
        <w:rPr>
          <w:rFonts w:ascii="Arial" w:hAnsi="Arial" w:cs="Arial"/>
          <w:sz w:val="14"/>
          <w:szCs w:val="1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 Внести в </w:t>
      </w:r>
      <w:hyperlink r:id="rId26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</w:t>
      </w:r>
      <w:r>
        <w:rPr>
          <w:rFonts w:ascii="Arial" w:hAnsi="Arial" w:cs="Arial"/>
          <w:sz w:val="14"/>
          <w:szCs w:val="14"/>
        </w:rPr>
        <w:lastRenderedPageBreak/>
        <w:t xml:space="preserve">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rFonts w:ascii="Arial" w:hAnsi="Arial" w:cs="Arial"/>
            <w:color w:val="0000FF"/>
            <w:sz w:val="14"/>
            <w:szCs w:val="14"/>
          </w:rPr>
          <w:t>абзац первый пункта 1</w:t>
        </w:r>
      </w:hyperlink>
      <w:r>
        <w:rPr>
          <w:rFonts w:ascii="Arial" w:hAnsi="Arial" w:cs="Arial"/>
          <w:sz w:val="14"/>
          <w:szCs w:val="14"/>
        </w:rPr>
        <w:t xml:space="preserve">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rFonts w:ascii="Arial" w:hAnsi="Arial" w:cs="Arial"/>
            <w:color w:val="0000FF"/>
            <w:sz w:val="14"/>
            <w:szCs w:val="14"/>
          </w:rPr>
          <w:t>Положением</w:t>
        </w:r>
      </w:hyperlink>
      <w:r>
        <w:rPr>
          <w:rFonts w:ascii="Arial" w:hAnsi="Arial" w:cs="Arial"/>
          <w:sz w:val="14"/>
          <w:szCs w:val="1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 Внести в </w:t>
      </w:r>
      <w:hyperlink r:id="rId29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</w:t>
      </w:r>
      <w:hyperlink r:id="rId30" w:history="1">
        <w:r>
          <w:rPr>
            <w:rFonts w:ascii="Arial" w:hAnsi="Arial" w:cs="Arial"/>
            <w:color w:val="0000FF"/>
            <w:sz w:val="14"/>
            <w:szCs w:val="14"/>
          </w:rPr>
          <w:t>абзац первый пункта 1</w:t>
        </w:r>
      </w:hyperlink>
      <w:r>
        <w:rPr>
          <w:rFonts w:ascii="Arial" w:hAnsi="Arial" w:cs="Arial"/>
          <w:sz w:val="14"/>
          <w:szCs w:val="14"/>
        </w:rPr>
        <w:t xml:space="preserve"> дополнить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31" w:history="1">
        <w:r>
          <w:rPr>
            <w:rFonts w:ascii="Arial" w:hAnsi="Arial" w:cs="Arial"/>
            <w:color w:val="0000FF"/>
            <w:sz w:val="14"/>
            <w:szCs w:val="14"/>
          </w:rPr>
          <w:t>пункте 2</w:t>
        </w:r>
      </w:hyperlink>
      <w:r>
        <w:rPr>
          <w:rFonts w:ascii="Arial" w:hAnsi="Arial" w:cs="Arial"/>
          <w:sz w:val="14"/>
          <w:szCs w:val="1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в) в </w:t>
      </w:r>
      <w:hyperlink r:id="rId32" w:history="1">
        <w:r>
          <w:rPr>
            <w:rFonts w:ascii="Arial" w:hAnsi="Arial" w:cs="Arial"/>
            <w:color w:val="0000FF"/>
            <w:sz w:val="14"/>
            <w:szCs w:val="14"/>
          </w:rPr>
          <w:t>пункте 3</w:t>
        </w:r>
      </w:hyperlink>
      <w:r>
        <w:rPr>
          <w:rFonts w:ascii="Arial" w:hAnsi="Arial" w:cs="Arial"/>
          <w:sz w:val="14"/>
          <w:szCs w:val="1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г) в </w:t>
      </w:r>
      <w:hyperlink r:id="rId33" w:history="1">
        <w:r>
          <w:rPr>
            <w:rFonts w:ascii="Arial" w:hAnsi="Arial" w:cs="Arial"/>
            <w:color w:val="0000FF"/>
            <w:sz w:val="14"/>
            <w:szCs w:val="14"/>
          </w:rPr>
          <w:t>пункте 4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д) в </w:t>
      </w:r>
      <w:hyperlink r:id="rId34" w:history="1">
        <w:r>
          <w:rPr>
            <w:rFonts w:ascii="Arial" w:hAnsi="Arial" w:cs="Arial"/>
            <w:color w:val="0000FF"/>
            <w:sz w:val="14"/>
            <w:szCs w:val="14"/>
          </w:rPr>
          <w:t>пункте 5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е) в </w:t>
      </w:r>
      <w:hyperlink r:id="rId35" w:history="1">
        <w:r>
          <w:rPr>
            <w:rFonts w:ascii="Arial" w:hAnsi="Arial" w:cs="Arial"/>
            <w:color w:val="0000FF"/>
            <w:sz w:val="14"/>
            <w:szCs w:val="14"/>
          </w:rPr>
          <w:t>пункте 6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ж) </w:t>
      </w:r>
      <w:hyperlink r:id="rId36" w:history="1">
        <w:r>
          <w:rPr>
            <w:rFonts w:ascii="Arial" w:hAnsi="Arial" w:cs="Arial"/>
            <w:color w:val="0000FF"/>
            <w:sz w:val="14"/>
            <w:szCs w:val="14"/>
          </w:rPr>
          <w:t>пункт 8</w:t>
        </w:r>
      </w:hyperlink>
      <w:r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7. Внести в </w:t>
      </w:r>
      <w:hyperlink r:id="rId37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</w:t>
      </w:r>
      <w:hyperlink r:id="rId38" w:history="1">
        <w:r>
          <w:rPr>
            <w:rFonts w:ascii="Arial" w:hAnsi="Arial" w:cs="Arial"/>
            <w:color w:val="0000FF"/>
            <w:sz w:val="14"/>
            <w:szCs w:val="14"/>
          </w:rPr>
          <w:t>пункт 9</w:t>
        </w:r>
      </w:hyperlink>
      <w:r>
        <w:rPr>
          <w:rFonts w:ascii="Arial" w:hAnsi="Arial" w:cs="Arial"/>
          <w:sz w:val="14"/>
          <w:szCs w:val="14"/>
        </w:rPr>
        <w:t xml:space="preserve"> признать утратившим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</w:t>
      </w:r>
      <w:hyperlink r:id="rId39" w:history="1">
        <w:r>
          <w:rPr>
            <w:rFonts w:ascii="Arial" w:hAnsi="Arial" w:cs="Arial"/>
            <w:color w:val="0000FF"/>
            <w:sz w:val="14"/>
            <w:szCs w:val="14"/>
          </w:rPr>
          <w:t>дополнить</w:t>
        </w:r>
      </w:hyperlink>
      <w:r>
        <w:rPr>
          <w:rFonts w:ascii="Arial" w:hAnsi="Arial" w:cs="Arial"/>
          <w:sz w:val="14"/>
          <w:szCs w:val="14"/>
        </w:rPr>
        <w:t xml:space="preserve"> пунктом 9.1 следующего содержания: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"9.1. Установить, что сведения, предусмотренные </w:t>
      </w:r>
      <w:hyperlink r:id="rId40" w:history="1">
        <w:r>
          <w:rPr>
            <w:rFonts w:ascii="Arial" w:hAnsi="Arial" w:cs="Arial"/>
            <w:color w:val="0000FF"/>
            <w:sz w:val="14"/>
            <w:szCs w:val="14"/>
          </w:rPr>
          <w:t>статьей 3</w:t>
        </w:r>
      </w:hyperlink>
      <w:r>
        <w:rPr>
          <w:rFonts w:ascii="Arial" w:hAnsi="Arial" w:cs="Arial"/>
          <w:sz w:val="14"/>
          <w:szCs w:val="1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8. Настоящий Указ вступает в силу с 1 января 2015 г.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Президент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В.ПУТИН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Москва, Кремль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23 июня 2014 года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 460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Утверждена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Указом Президента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от 23 июня 2014 г. N 460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B50D8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19.09.2017 </w:t>
            </w:r>
            <w:hyperlink r:id="rId4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09.10.2017 </w:t>
            </w:r>
            <w:hyperlink r:id="rId4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(указывается наименование кадрового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подразделения федерального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государственного органа, иного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или организации)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77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СПРАВКА </w:t>
      </w:r>
      <w:hyperlink w:anchor="Par1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 доходах, расходах, об имуществе и обязательствах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имущественного характера </w:t>
      </w:r>
      <w:hyperlink w:anchor="Par1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(фамилия, имя, отчество, дата рождения, серия и номер паспорта,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дата выдачи и орган, выдавший паспорт)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на замещение которой претендует гражданин (если применимо))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зарегистрированный по адресу: ____________________________________________,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(адрес места регистрации)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сообщаю   сведения   о   доходах,   расходах   своих,  супруги   (супруга),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несовершеннолетнего ребенка (нужное подчеркнуть)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(фамилия, имя, отчество, дата рождения, серия и номер паспорта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или свидетельства о рождении (для несовершеннолетнего ребенка,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не имеющего паспорта), дата выдачи и орган, выдавший документ)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(замещаемая) должность)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   отчетный   период   с  1  января  20__ г.   по   31  декабря  20__ г.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                         имуществе,                         принадлежащем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  праве   собственности,   о   вкладах  в  банках,  ценных  бумагах,  об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обязательствах имущественного характера по состоянию на "__" ______ 20__ г.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114"/>
      <w:bookmarkEnd w:id="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    Заполняется     собственноручно     или     с    использованием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нормативными правовыми актами Российской Федерации.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17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полномочий  по  которой  влечет  за  собой  обязанность  представлять такие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себя, на супругу (супруга) и на каждого несовершеннолетнего ребенка.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1. Сведения о доходах </w:t>
      </w:r>
      <w:hyperlink w:anchor="Par15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  <w:sectPr w:rsidR="00B50D8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Величина дохода </w:t>
            </w:r>
            <w:hyperlink w:anchor="Par16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59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 Указываются  доходы  (включая  пенсии,  пособия,  иные выплаты) за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отчетный период.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161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курсу Банка России на дату получения дохода.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2. Сведения о расходах </w:t>
      </w:r>
      <w:hyperlink w:anchor="Par24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B50D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приобретения </w:t>
            </w:r>
            <w:hyperlink w:anchor="Par25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246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4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3 декабря 2012 г.  N  230-ФЗ  "О  контроле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иных  лиц  их доходам". Если правовые основания для представления указанных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сведений отсутствуют, данный раздел не заполняется.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251"/>
      <w:bookmarkEnd w:id="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 Указываются   наименование  и  реквизиты  документа,  являющегося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прилагается к настоящей справке.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3. Сведения об имуществе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3.1. Недвижимое имущество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собственности </w:t>
            </w:r>
            <w:hyperlink w:anchor="Par35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приобретения и источник средств </w:t>
            </w:r>
            <w:hyperlink w:anchor="Par357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Земельные участки </w:t>
            </w:r>
            <w:hyperlink w:anchor="Par36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" w:name="Par353"/>
      <w:bookmarkEnd w:id="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Указывается вид собственности (индивидуальная, долевая, общая); для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указывается доля лица, сведения об имуществе которого представляются.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" w:name="Par357"/>
      <w:bookmarkEnd w:id="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Указываются   наименование   и   реквизиты  документа,  являющегося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законным основанием  для  возникновения  права  собственности,  а  также  в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случаях, предусмотренных </w:t>
      </w:r>
      <w:hyperlink r:id="rId4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 закона  от  7  мая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2013 г. N 79-ФЗ "О запрете  отдельным  категориям  лиц  открывать  и  иметь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счета (вклады), хранить наличные денежные средства и ценности в иностранных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банках, расположенных за пределами территории Российской Федерации, владеть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получения средств, за счет которых приобретено имущество.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365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&lt;3&gt;  Указывается вид земельного участка (пая, доли): под индивидуальное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3.2. Транспортные средства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собственности </w:t>
            </w:r>
            <w:hyperlink w:anchor="Par44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регистрации</w:t>
            </w:r>
          </w:p>
        </w:tc>
      </w:tr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0" w:name="Par442"/>
      <w:bookmarkEnd w:id="1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указывается доля лица, сведения об имуществе которого представляются.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 валюта счета </w:t>
            </w:r>
            <w:hyperlink w:anchor="Par48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Остаток на счете </w:t>
            </w:r>
            <w:hyperlink w:anchor="Par48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Сумма поступивших на счет денежных средств </w:t>
            </w:r>
            <w:hyperlink w:anchor="Par48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1" w:name="Par481"/>
      <w:bookmarkEnd w:id="1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 Указываются  вид счета (депозитный, текущий, расчетный, ссудный  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2" w:name="Par483"/>
      <w:bookmarkEnd w:id="1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 на отчетную дату.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3" w:name="Par486"/>
      <w:bookmarkEnd w:id="1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&lt;3&gt;  Указывается  общая сумма денежных поступлений на счет за  отчетный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период  в  случаях,  если  указанная сумма превышает общий доход лица и его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случае к справке прилагается выписка о движении денежных средств по данному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рублях по курсу Банка России на отчетную дату.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4" w:name="Par493"/>
      <w:bookmarkEnd w:id="1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5. Сведения о ценных бумагах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5" w:name="Par495"/>
      <w:bookmarkEnd w:id="1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Наименование и организационно-правовая форма организации </w:t>
            </w:r>
            <w:hyperlink w:anchor="Par54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Уставный капитал </w:t>
            </w:r>
            <w:hyperlink w:anchor="Par54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Доля участия </w:t>
            </w:r>
            <w:hyperlink w:anchor="Par549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участия </w:t>
            </w:r>
            <w:hyperlink w:anchor="Par55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6" w:name="Par541"/>
      <w:bookmarkEnd w:id="1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  Указываются  полное  или  сокращенное  официальное   наименование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кооператив, фонд и другие).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7" w:name="Par545"/>
      <w:bookmarkEnd w:id="1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по  состоянию  на  отчетную  дату.  Для  уставных  капиталов,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курсу Банка России на отчетную дату.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8" w:name="Par549"/>
      <w:bookmarkEnd w:id="1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акций.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9" w:name="Par552"/>
      <w:bookmarkEnd w:id="1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&lt;4&gt;  Указываются  основание  приобретения  доли участия  (учредительный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договор,  приватизация,  покупка,  мена, дарение, наследование и другие), 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также реквизиты (дата, номер) соответствующего договора или акта.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5.2. Иные ценные бумаги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ценной бумаги </w:t>
            </w:r>
            <w:hyperlink w:anchor="Par61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Общая стоимость </w:t>
            </w:r>
            <w:hyperlink w:anchor="Par61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Итого   по   </w:t>
      </w:r>
      <w:hyperlink w:anchor="Par49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разделу   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"Сведения   о   ценных   бумагах"  суммарная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декларированная стоимость ценных бумаг, включая доли участия в коммерческих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организациях (руб.), 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0" w:name="Par613"/>
      <w:bookmarkEnd w:id="2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Указываются все  ценные  бумаги  по  видам  (облигации,  векселя  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49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"Акции  и  иное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участие в коммерческих организациях и фондах".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1" w:name="Par616"/>
      <w:bookmarkEnd w:id="2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Указывается  общая  стоимость ценных бумаг данного вида исходя  из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их  приобретения (если ее нельзя определить - исходя из рыночной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или  номинальной  стоимости).  Для  обязательств,  выраженных  в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отчетную дату.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65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имущества </w:t>
            </w:r>
            <w:hyperlink w:anchor="Par659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 сроки пользования </w:t>
            </w:r>
            <w:hyperlink w:anchor="Par66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пользования </w:t>
            </w:r>
            <w:hyperlink w:anchor="Par66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Площадь (кв. м)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2" w:name="Par658"/>
      <w:bookmarkEnd w:id="2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&lt;1&gt; Указываются по состоянию на отчетную дату.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3" w:name="Par659"/>
      <w:bookmarkEnd w:id="2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&lt;2&gt;  Указывается  вид  недвижимого имущества (земельный участок,  жилой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дом, дача и другие).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4" w:name="Par661"/>
      <w:bookmarkEnd w:id="2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&lt;3&gt;  Указываются  вид пользования (аренда, безвозмездное пользование  и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сроки пользования.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5" w:name="Par663"/>
      <w:bookmarkEnd w:id="2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&lt;4&gt;    Указываются   основание    пользования   (договор,   фактическое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6.2. Срочные обязательства финансового характера </w:t>
      </w:r>
      <w:hyperlink w:anchor="Par70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Содержание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обязательства </w:t>
            </w:r>
            <w:hyperlink w:anchor="Par70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Кредитор (должник) </w:t>
            </w:r>
            <w:hyperlink w:anchor="Par70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Основание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возникновения </w:t>
            </w:r>
            <w:hyperlink w:anchor="Par708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Сумма обязательства/размер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обязательства по состоянию на отчетную дату </w:t>
            </w:r>
            <w:hyperlink w:anchor="Par710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Условия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обязательства </w:t>
            </w:r>
            <w:hyperlink w:anchor="Par714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&lt;6&gt;</w:t>
              </w:r>
            </w:hyperlink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  <w:sectPr w:rsidR="00B50D8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6" w:name="Par701"/>
      <w:bookmarkEnd w:id="26"/>
      <w:r>
        <w:rPr>
          <w:rFonts w:ascii="Arial" w:hAnsi="Arial" w:cs="Arial"/>
          <w:sz w:val="14"/>
          <w:szCs w:val="14"/>
        </w:rPr>
        <w:t>&lt;1&gt;  Указываются  имеющиеся  на  отчетную  дату  срочные  обязательства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финансового  характера  на  сумму,  равную  или  превышающую  500 000 руб.,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кредитором   или   должником   по   которым   является  лицо,  сведения  об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обязательствах которого представляются.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7" w:name="Par705"/>
      <w:bookmarkEnd w:id="27"/>
      <w:r>
        <w:rPr>
          <w:rFonts w:ascii="Arial" w:hAnsi="Arial" w:cs="Arial"/>
          <w:sz w:val="14"/>
          <w:szCs w:val="14"/>
        </w:rPr>
        <w:t>&lt;2&gt; Указывается существо обязательства (заем, кредит и другие).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8" w:name="Par706"/>
      <w:bookmarkEnd w:id="28"/>
      <w:r>
        <w:rPr>
          <w:rFonts w:ascii="Arial" w:hAnsi="Arial" w:cs="Arial"/>
          <w:sz w:val="14"/>
          <w:szCs w:val="14"/>
        </w:rPr>
        <w:t>&lt;3&gt;  Указывается  вторая  сторона обязательства: кредитор или  должник,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его фамилия, имя и отчество (наименование юридического лица), адрес.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9" w:name="Par708"/>
      <w:bookmarkEnd w:id="29"/>
      <w:r>
        <w:rPr>
          <w:rFonts w:ascii="Arial" w:hAnsi="Arial" w:cs="Arial"/>
          <w:sz w:val="14"/>
          <w:szCs w:val="14"/>
        </w:rPr>
        <w:t>&lt;4&gt;   Указываются   основание   возникновения  обязательства,  а  также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реквизиты (дата, номер) соответствующего договора или акта.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0" w:name="Par710"/>
      <w:bookmarkEnd w:id="30"/>
      <w:r>
        <w:rPr>
          <w:rFonts w:ascii="Arial" w:hAnsi="Arial" w:cs="Arial"/>
          <w:sz w:val="14"/>
          <w:szCs w:val="14"/>
        </w:rPr>
        <w:t>&lt;5&gt;  Указываются сумма основного обязательства (без суммы процентов)  и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размер  обязательства  по  состоянию  на  отчетную  дату. Для обязательств,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выраженных  в иностранной валюте, сумма указывается в рублях по курсу Банка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России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1" w:name="Par714"/>
      <w:bookmarkEnd w:id="31"/>
      <w:r>
        <w:rPr>
          <w:rFonts w:ascii="Arial" w:hAnsi="Arial" w:cs="Arial"/>
          <w:sz w:val="14"/>
          <w:szCs w:val="14"/>
        </w:rPr>
        <w:t>&lt;6&gt;  Указываются годовая процентная ставка обязательства, заложенное  в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обеспечение  обязательства  имущество, выданные в обеспечение обязательства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гарантии и поручительства.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Приобретатель имущества по сделке </w:t>
            </w:r>
            <w:hyperlink w:anchor="Par754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отчуждения имущества </w:t>
            </w:r>
            <w:hyperlink w:anchor="Par75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Земельные участки: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Транспортные средства: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Ценные бумаги: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32" w:name="Par754"/>
      <w:bookmarkEnd w:id="32"/>
      <w:r>
        <w:rPr>
          <w:rFonts w:ascii="Arial" w:hAnsi="Arial" w:cs="Arial"/>
          <w:sz w:val="14"/>
          <w:szCs w:val="14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33" w:name="Par755"/>
      <w:bookmarkEnd w:id="33"/>
      <w:r>
        <w:rPr>
          <w:rFonts w:ascii="Arial" w:hAnsi="Arial" w:cs="Arial"/>
          <w:sz w:val="14"/>
          <w:szCs w:val="1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Достоверность и полноту настоящих сведений подтверждаю.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_______________ 20__ г. 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(подпись лица, представляющего сведения)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(Ф.И.О. и подпись лица, принявшего справку)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50D8B"/>
    <w:rsid w:val="00B50D8B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0F17665FBD0AB89D431E4310827A40B9CC736885E7E5E6B3BA445FEB1636B97B8464D67DB3EABA06690F85Ab93AN" TargetMode="External"/><Relationship Id="rId13" Type="http://schemas.openxmlformats.org/officeDocument/2006/relationships/hyperlink" Target="consultantplus://offline/ref=1CC0F17665FBD0AB89D431E4310827A40B9CC736885E7E5E6B3BA445FEB1636B85B81E4166DC20AAAE73C6A91FC674A71ECA5F6C78D4BE64bE32N" TargetMode="External"/><Relationship Id="rId18" Type="http://schemas.openxmlformats.org/officeDocument/2006/relationships/hyperlink" Target="consultantplus://offline/ref=1CC0F17665FBD0AB89D431E4310827A40B9CC736885E7E5E6B3BA445FEB1636B85B81E4166DC20A8AB73C6A91FC674A71ECA5F6C78D4BE64bE32N" TargetMode="External"/><Relationship Id="rId26" Type="http://schemas.openxmlformats.org/officeDocument/2006/relationships/hyperlink" Target="consultantplus://offline/ref=1CC0F17665FBD0AB89D431E4310827A40B9FC135815C7E5E6B3BA445FEB1636B97B8464D67DB3EABA06690F85Ab93AN" TargetMode="External"/><Relationship Id="rId39" Type="http://schemas.openxmlformats.org/officeDocument/2006/relationships/hyperlink" Target="consultantplus://offline/ref=1CC0F17665FBD0AB89D431E4310827A40B9FC63288527E5E6B3BA445FEB1636B97B8464D67DB3EABA06690F85Ab93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C0F17665FBD0AB89D431E4310827A40B9CC736805C7E5E6B3BA445FEB1636B97B8464D67DB3EABA06690F85Ab93AN" TargetMode="External"/><Relationship Id="rId34" Type="http://schemas.openxmlformats.org/officeDocument/2006/relationships/hyperlink" Target="consultantplus://offline/ref=1CC0F17665FBD0AB89D431E4310827A40B9CC53488597E5E6B3BA445FEB1636B85B81E4166DC20A9AA73C6A91FC674A71ECA5F6C78D4BE64bE32N" TargetMode="External"/><Relationship Id="rId42" Type="http://schemas.openxmlformats.org/officeDocument/2006/relationships/hyperlink" Target="consultantplus://offline/ref=1CC0F17665FBD0AB89D431E4310827A4089DCA378D587E5E6B3BA445FEB1636B85B81E4166DC20A8A073C6A91FC674A71ECA5F6C78D4BE64bE32N" TargetMode="External"/><Relationship Id="rId7" Type="http://schemas.openxmlformats.org/officeDocument/2006/relationships/hyperlink" Target="consultantplus://offline/ref=1CC0F17665FBD0AB89D431E4310827A40893CA358D5D7E5E6B3BA445FEB1636B97B8464D67DB3EABA06690F85Ab93AN" TargetMode="External"/><Relationship Id="rId12" Type="http://schemas.openxmlformats.org/officeDocument/2006/relationships/hyperlink" Target="consultantplus://offline/ref=1CC0F17665FBD0AB89D431E4310827A40B9CC736885E7E5E6B3BA445FEB1636B85B81E4166DC20AAAF73C6A91FC674A71ECA5F6C78D4BE64bE32N" TargetMode="External"/><Relationship Id="rId17" Type="http://schemas.openxmlformats.org/officeDocument/2006/relationships/hyperlink" Target="consultantplus://offline/ref=1CC0F17665FBD0AB89D431E4310827A40B9CC736885E7E5E6B3BA445FEB1636B85B81E4166DD21ADAD73C6A91FC674A71ECA5F6C78D4BE64bE32N" TargetMode="External"/><Relationship Id="rId25" Type="http://schemas.openxmlformats.org/officeDocument/2006/relationships/hyperlink" Target="consultantplus://offline/ref=1CC0F17665FBD0AB89D431E4310827A40B9CC736805C7E5E6B3BA445FEB1636B85B81E4166DC20A9AE73C6A91FC674A71ECA5F6C78D4BE64bE32N" TargetMode="External"/><Relationship Id="rId33" Type="http://schemas.openxmlformats.org/officeDocument/2006/relationships/hyperlink" Target="consultantplus://offline/ref=1CC0F17665FBD0AB89D431E4310827A40B9CC53488597E5E6B3BA445FEB1636B85B81E4166DC20A9AB73C6A91FC674A71ECA5F6C78D4BE64bE32N" TargetMode="External"/><Relationship Id="rId38" Type="http://schemas.openxmlformats.org/officeDocument/2006/relationships/hyperlink" Target="consultantplus://offline/ref=1CC0F17665FBD0AB89D431E4310827A40B9FC63288527E5E6B3BA445FEB1636B85B81E4166DC20A8AC73C6A91FC674A71ECA5F6C78D4BE64bE32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C0F17665FBD0AB89D431E4310827A40B9CC736885E7E5E6B3BA445FEB1636B85B81E4166DC20A9AE73C6A91FC674A71ECA5F6C78D4BE64bE32N" TargetMode="External"/><Relationship Id="rId20" Type="http://schemas.openxmlformats.org/officeDocument/2006/relationships/hyperlink" Target="consultantplus://offline/ref=1CC0F17665FBD0AB89D431E4310827A40B9CC736805C7E5E6B3BA445FEB1636B85B81E4166DC20A9AD73C6A91FC674A71ECA5F6C78D4BE64bE32N" TargetMode="External"/><Relationship Id="rId29" Type="http://schemas.openxmlformats.org/officeDocument/2006/relationships/hyperlink" Target="consultantplus://offline/ref=1CC0F17665FBD0AB89D431E4310827A40B9CC53488597E5E6B3BA445FEB1636B97B8464D67DB3EABA06690F85Ab93AN" TargetMode="External"/><Relationship Id="rId41" Type="http://schemas.openxmlformats.org/officeDocument/2006/relationships/hyperlink" Target="consultantplus://offline/ref=1CC0F17665FBD0AB89D431E4310827A4089DCB31805C7E5E6B3BA445FEB1636B85B81E4166DC20ADA973C6A91FC674A71ECA5F6C78D4BE64bE3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0F17665FBD0AB89D431E4310827A4089DCA378D587E5E6B3BA445FEB1636B85B81E4166DC20A8A073C6A91FC674A71ECA5F6C78D4BE64bE32N" TargetMode="External"/><Relationship Id="rId11" Type="http://schemas.openxmlformats.org/officeDocument/2006/relationships/hyperlink" Target="consultantplus://offline/ref=1CC0F17665FBD0AB89D431E4310827A40B9CC736885E7E5E6B3BA445FEB1636B85B81E4166DC20ABA073C6A91FC674A71ECA5F6C78D4BE64bE32N" TargetMode="External"/><Relationship Id="rId24" Type="http://schemas.openxmlformats.org/officeDocument/2006/relationships/hyperlink" Target="consultantplus://offline/ref=1CC0F17665FBD0AB89D431E4310827A40B9CC736805C7E5E6B3BA445FEB1636B85B81E4166DC20AAAA73C6A91FC674A71ECA5F6C78D4BE64bE32N" TargetMode="External"/><Relationship Id="rId32" Type="http://schemas.openxmlformats.org/officeDocument/2006/relationships/hyperlink" Target="consultantplus://offline/ref=1CC0F17665FBD0AB89D431E4310827A40B9CC53488597E5E6B3BA445FEB1636B85B81E4166DC20A9A873C6A91FC674A71ECA5F6C78D4BE64bE32N" TargetMode="External"/><Relationship Id="rId37" Type="http://schemas.openxmlformats.org/officeDocument/2006/relationships/hyperlink" Target="consultantplus://offline/ref=1CC0F17665FBD0AB89D431E4310827A40B9FC63288527E5E6B3BA445FEB1636B97B8464D67DB3EABA06690F85Ab93AN" TargetMode="External"/><Relationship Id="rId40" Type="http://schemas.openxmlformats.org/officeDocument/2006/relationships/hyperlink" Target="consultantplus://offline/ref=1CC0F17665FBD0AB89D431E4310827A40893CA358D5D7E5E6B3BA445FEB1636B85B81E4166DC20A9AE73C6A91FC674A71ECA5F6C78D4BE64bE32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CC0F17665FBD0AB89D431E4310827A4089DCB31805C7E5E6B3BA445FEB1636B85B81E4166DC20ADA973C6A91FC674A71ECA5F6C78D4BE64bE32N" TargetMode="External"/><Relationship Id="rId15" Type="http://schemas.openxmlformats.org/officeDocument/2006/relationships/hyperlink" Target="consultantplus://offline/ref=1CC0F17665FBD0AB89D431E4310827A40B9CC736885E7E5E6B3BA445FEB1636B85B81E4166DC20A9AD73C6A91FC674A71ECA5F6C78D4BE64bE32N" TargetMode="External"/><Relationship Id="rId23" Type="http://schemas.openxmlformats.org/officeDocument/2006/relationships/hyperlink" Target="consultantplus://offline/ref=1CC0F17665FBD0AB89D431E4310827A40B9CC736805C7E5E6B3BA445FEB1636B85B81E4166DC20AAAB73C6A91FC674A71ECA5F6C78D4BE64bE32N" TargetMode="External"/><Relationship Id="rId28" Type="http://schemas.openxmlformats.org/officeDocument/2006/relationships/hyperlink" Target="consultantplus://offline/ref=1CC0F17665FBD0AB89D431E4310827A40B9CC736805C7E5E6B3BA445FEB1636B85B81E4166DC20A9AD73C6A91FC674A71ECA5F6C78D4BE64bE32N" TargetMode="External"/><Relationship Id="rId36" Type="http://schemas.openxmlformats.org/officeDocument/2006/relationships/hyperlink" Target="consultantplus://offline/ref=1CC0F17665FBD0AB89D431E4310827A40B9CC53488597E5E6B3BA445FEB1636B85B81E4166DC20A8A973C6A91FC674A71ECA5F6C78D4BE64bE32N" TargetMode="External"/><Relationship Id="rId10" Type="http://schemas.openxmlformats.org/officeDocument/2006/relationships/hyperlink" Target="consultantplus://offline/ref=1CC0F17665FBD0AB89D431E4310827A40B9CC736885E7E5E6B3BA445FEB1636B97B8464D67DB3EABA06690F85Ab93AN" TargetMode="External"/><Relationship Id="rId19" Type="http://schemas.openxmlformats.org/officeDocument/2006/relationships/hyperlink" Target="consultantplus://offline/ref=1CC0F17665FBD0AB89D431E4310827A40B9CC736805C7E5E6B3BA445FEB1636B97B8464D67DB3EABA06690F85Ab93AN" TargetMode="External"/><Relationship Id="rId31" Type="http://schemas.openxmlformats.org/officeDocument/2006/relationships/hyperlink" Target="consultantplus://offline/ref=1CC0F17665FBD0AB89D431E4310827A40B9CC53488597E5E6B3BA445FEB1636B85B81E4166DC20A9A973C6A91FC674A71ECA5F6C78D4BE64bE32N" TargetMode="External"/><Relationship Id="rId44" Type="http://schemas.openxmlformats.org/officeDocument/2006/relationships/hyperlink" Target="consultantplus://offline/ref=1CC0F17665FBD0AB89D431E4310827A4099BC4368E597E5E6B3BA445FEB1636B85B81E4166DC20A8A973C6A91FC674A71ECA5F6C78D4BE64bE3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C0F17665FBD0AB89D431E4310827A40B9CC736885E7E5E6B3BA445FEB1636B85B81E4166DC20A9AD73C6A91FC674A71ECA5F6C78D4BE64bE32N" TargetMode="External"/><Relationship Id="rId14" Type="http://schemas.openxmlformats.org/officeDocument/2006/relationships/hyperlink" Target="consultantplus://offline/ref=1CC0F17665FBD0AB89D431E4310827A40B9CC736885E7E5E6B3BA445FEB1636B85B81E4166DC20AAA173C6A91FC674A71ECA5F6C78D4BE64bE32N" TargetMode="External"/><Relationship Id="rId22" Type="http://schemas.openxmlformats.org/officeDocument/2006/relationships/hyperlink" Target="consultantplus://offline/ref=1CC0F17665FBD0AB89D431E4310827A40B9CC736805C7E5E6B3BA445FEB1636B85B81E4166DC20ABA073C6A91FC674A71ECA5F6C78D4BE64bE32N" TargetMode="External"/><Relationship Id="rId27" Type="http://schemas.openxmlformats.org/officeDocument/2006/relationships/hyperlink" Target="consultantplus://offline/ref=1CC0F17665FBD0AB89D431E4310827A40B9FC135815C7E5E6B3BA445FEB1636B85B81E4166DC20ABAE73C6A91FC674A71ECA5F6C78D4BE64bE32N" TargetMode="External"/><Relationship Id="rId30" Type="http://schemas.openxmlformats.org/officeDocument/2006/relationships/hyperlink" Target="consultantplus://offline/ref=1CC0F17665FBD0AB89D431E4310827A40B9CC53488597E5E6B3BA445FEB1636B85B81E4166DC20ABAE73C6A91FC674A71ECA5F6C78D4BE64bE32N" TargetMode="External"/><Relationship Id="rId35" Type="http://schemas.openxmlformats.org/officeDocument/2006/relationships/hyperlink" Target="consultantplus://offline/ref=1CC0F17665FBD0AB89D431E4310827A40B9CC53488597E5E6B3BA445FEB1636B85B81E4166DC20A9AD73C6A91FC674A71ECA5F6C78D4BE64bE32N" TargetMode="External"/><Relationship Id="rId43" Type="http://schemas.openxmlformats.org/officeDocument/2006/relationships/hyperlink" Target="consultantplus://offline/ref=1CC0F17665FBD0AB89D431E4310827A40893CA358D5D7E5E6B3BA445FEB1636B85B81E4166DC20A9AE73C6A91FC674A71ECA5F6C78D4BE64bE3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4464</Words>
  <Characters>25446</Characters>
  <Application>Microsoft Office Word</Application>
  <DocSecurity>0</DocSecurity>
  <Lines>212</Lines>
  <Paragraphs>59</Paragraphs>
  <ScaleCrop>false</ScaleCrop>
  <Company/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2019-09-17T13:55:00Z</dcterms:created>
  <dcterms:modified xsi:type="dcterms:W3CDTF">2019-09-17T13:55:00Z</dcterms:modified>
</cp:coreProperties>
</file>